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Workgroup on Children in Unlicensed Settings and Pediatric Hospital Overstays Meeting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Monday November</w:t>
      </w:r>
      <w:r w:rsidDel="00000000" w:rsidR="00000000" w:rsidRPr="00000000">
        <w:rPr>
          <w:rtl w:val="0"/>
        </w:rPr>
        <w:t xml:space="preserve">, 2025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10:00 AM - 11:00 AM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Meeting Goal: </w:t>
      </w:r>
      <w:r w:rsidDel="00000000" w:rsidR="00000000" w:rsidRPr="00000000">
        <w:rPr>
          <w:rtl w:val="0"/>
        </w:rPr>
        <w:t xml:space="preserve">To establish a shared understanding of the Workgroup's mandate, review foundational information, and outline initial steps for effective collaboration.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Welcome and Introductions (5 minutes)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Brief welcome and overview of the pre-meeting's purpose.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Quick introductions: Name, Affiliation, and a very brief statement on your primary interest in this Workgroup. 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Workgroup Reports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Resources and Barriers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Definition, History and Other States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Assessment and Needs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Legislation and Policy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12">
      <w:pPr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Action Plan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color w:val="222222"/>
          <w:rtl w:val="0"/>
        </w:rPr>
        <w:t xml:space="preserve">Short term actions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380" w:hanging="360"/>
      </w:pPr>
      <w:r w:rsidDel="00000000" w:rsidR="00000000" w:rsidRPr="00000000">
        <w:rPr>
          <w:color w:val="222222"/>
          <w:rtl w:val="0"/>
        </w:rPr>
        <w:t xml:space="preserve">Resource mapping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what are the profiles of youth who are stuck in hospitals and hotels now?</w:t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where do they need to go?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what do they, the provider or family need to transition out of the hospital or hotel?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where are the gaps?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380" w:hanging="360"/>
      </w:pPr>
      <w:r w:rsidDel="00000000" w:rsidR="00000000" w:rsidRPr="00000000">
        <w:rPr>
          <w:color w:val="222222"/>
          <w:rtl w:val="0"/>
        </w:rPr>
        <w:t xml:space="preserve">Focus on the gaps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what funding/how much do providers need to bring more beds online in the short-term?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what funding/how much do providers need to offer high fidelity wraparound services in the short-term?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What legislative, regulatory and policy barriers are in the way? Are there licensing or liability concerns that need to be addressed?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380" w:hanging="360"/>
      </w:pPr>
      <w:r w:rsidDel="00000000" w:rsidR="00000000" w:rsidRPr="00000000">
        <w:rPr>
          <w:color w:val="222222"/>
          <w:rtl w:val="0"/>
        </w:rPr>
        <w:t xml:space="preserve">Proposals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Funding request – what mechanisms does the State have to distribute funds/scale existing effective programs that could quickly bring the identified resources online?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Previously introduced legislation – is there legislation that has been introduced, but hasn’t passed that would be effective? Is there legislation that has passed, but hasn’t been implemented that would be effective?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3100" w:hanging="360"/>
      </w:pPr>
      <w:r w:rsidDel="00000000" w:rsidR="00000000" w:rsidRPr="00000000">
        <w:rPr>
          <w:color w:val="222222"/>
          <w:rtl w:val="0"/>
        </w:rPr>
        <w:t xml:space="preserve">Proposed legislation for 2026 session – are there bills being proposed that would be effective? From our discussion, are there bill ideas that could be effective for closing the identified gaps?</w:t>
      </w:r>
    </w:p>
    <w:p w:rsidR="00000000" w:rsidDel="00000000" w:rsidP="00000000" w:rsidRDefault="00000000" w:rsidRPr="00000000" w14:paraId="00000022">
      <w:pPr>
        <w:ind w:left="360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Steps &amp; 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Follow Up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